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3F" w:rsidRDefault="00452D3F" w:rsidP="00452D3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u-HU"/>
        </w:rPr>
        <w:drawing>
          <wp:inline distT="0" distB="0" distL="0" distR="0">
            <wp:extent cx="5753735" cy="966470"/>
            <wp:effectExtent l="19050" t="0" r="0" b="0"/>
            <wp:docPr id="1" name="Kép 1" descr="fejl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jlé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966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466" w:rsidRPr="00520824" w:rsidRDefault="008E6466" w:rsidP="00452D3F">
      <w:pPr>
        <w:jc w:val="center"/>
        <w:rPr>
          <w:rFonts w:ascii="Times New Roman" w:hAnsi="Times New Roman"/>
          <w:b/>
        </w:rPr>
      </w:pPr>
      <w:r w:rsidRPr="00520824">
        <w:rPr>
          <w:rFonts w:ascii="Times New Roman" w:hAnsi="Times New Roman"/>
          <w:b/>
        </w:rPr>
        <w:t>Észrevételek és Javaslatok</w:t>
      </w:r>
    </w:p>
    <w:p w:rsidR="00C3235B" w:rsidRPr="00520824" w:rsidRDefault="00C3235B" w:rsidP="00452D3F">
      <w:pPr>
        <w:jc w:val="center"/>
        <w:rPr>
          <w:rFonts w:ascii="Times New Roman" w:hAnsi="Times New Roman"/>
          <w:b/>
        </w:rPr>
      </w:pPr>
      <w:proofErr w:type="gramStart"/>
      <w:r w:rsidRPr="00520824">
        <w:rPr>
          <w:rFonts w:ascii="Times New Roman" w:hAnsi="Times New Roman"/>
          <w:b/>
        </w:rPr>
        <w:t>a</w:t>
      </w:r>
      <w:proofErr w:type="gramEnd"/>
      <w:r w:rsidRPr="00520824">
        <w:rPr>
          <w:rFonts w:ascii="Times New Roman" w:hAnsi="Times New Roman"/>
          <w:b/>
        </w:rPr>
        <w:t xml:space="preserve"> Kormány részére</w:t>
      </w:r>
    </w:p>
    <w:p w:rsidR="00C3235B" w:rsidRPr="00520824" w:rsidRDefault="008E6466" w:rsidP="00452D3F">
      <w:pPr>
        <w:jc w:val="center"/>
        <w:rPr>
          <w:rFonts w:ascii="Times New Roman" w:hAnsi="Times New Roman"/>
          <w:b/>
        </w:rPr>
      </w:pPr>
      <w:proofErr w:type="gramStart"/>
      <w:r w:rsidRPr="00520824">
        <w:rPr>
          <w:rFonts w:ascii="Times New Roman" w:hAnsi="Times New Roman"/>
          <w:b/>
        </w:rPr>
        <w:t>az</w:t>
      </w:r>
      <w:proofErr w:type="gramEnd"/>
      <w:r w:rsidRPr="00520824">
        <w:rPr>
          <w:rFonts w:ascii="Times New Roman" w:hAnsi="Times New Roman"/>
          <w:b/>
        </w:rPr>
        <w:t xml:space="preserve"> </w:t>
      </w:r>
      <w:r w:rsidR="00C3235B" w:rsidRPr="00520824">
        <w:rPr>
          <w:rFonts w:ascii="Times New Roman" w:hAnsi="Times New Roman"/>
          <w:b/>
        </w:rPr>
        <w:t xml:space="preserve">egyes gyermekvédelmi és családtámogatási tárgyú kormányrendeletek </w:t>
      </w:r>
      <w:r w:rsidRPr="00520824">
        <w:rPr>
          <w:rFonts w:ascii="Times New Roman" w:hAnsi="Times New Roman"/>
          <w:b/>
        </w:rPr>
        <w:t>módosításához</w:t>
      </w:r>
    </w:p>
    <w:p w:rsidR="008E6466" w:rsidRPr="00520824" w:rsidRDefault="008E6466" w:rsidP="00452D3F">
      <w:pPr>
        <w:pStyle w:val="1cm-rebehzott"/>
        <w:spacing w:line="276" w:lineRule="auto"/>
        <w:ind w:firstLine="0"/>
        <w:rPr>
          <w:bCs/>
          <w:sz w:val="22"/>
          <w:szCs w:val="22"/>
        </w:rPr>
      </w:pPr>
      <w:r w:rsidRPr="00520824">
        <w:rPr>
          <w:bCs/>
          <w:sz w:val="22"/>
          <w:szCs w:val="22"/>
        </w:rPr>
        <w:t xml:space="preserve">Az előterjesztés 12.§ - </w:t>
      </w:r>
      <w:proofErr w:type="gramStart"/>
      <w:r w:rsidRPr="00520824">
        <w:rPr>
          <w:bCs/>
          <w:sz w:val="22"/>
          <w:szCs w:val="22"/>
        </w:rPr>
        <w:t>a</w:t>
      </w:r>
      <w:proofErr w:type="gramEnd"/>
      <w:r w:rsidRPr="00520824">
        <w:rPr>
          <w:bCs/>
          <w:sz w:val="22"/>
          <w:szCs w:val="22"/>
        </w:rPr>
        <w:t xml:space="preserve"> </w:t>
      </w:r>
      <w:proofErr w:type="spellStart"/>
      <w:r w:rsidRPr="00520824">
        <w:rPr>
          <w:bCs/>
          <w:sz w:val="22"/>
          <w:szCs w:val="22"/>
        </w:rPr>
        <w:t>a</w:t>
      </w:r>
      <w:proofErr w:type="spellEnd"/>
      <w:r w:rsidRPr="00520824">
        <w:rPr>
          <w:bCs/>
          <w:sz w:val="22"/>
          <w:szCs w:val="22"/>
        </w:rPr>
        <w:t xml:space="preserve"> gyámhatóságokról, valamint a gyermekvédelmi és gyámügyi eljárásról szóló </w:t>
      </w:r>
      <w:r w:rsidRPr="00520824">
        <w:rPr>
          <w:b/>
          <w:bCs/>
          <w:sz w:val="22"/>
          <w:szCs w:val="22"/>
        </w:rPr>
        <w:t>149/1997. (IX. 10.) Korm. rendelet 145. § (2), (3) és (4) bekezdését</w:t>
      </w:r>
      <w:r w:rsidRPr="00520824">
        <w:rPr>
          <w:bCs/>
          <w:sz w:val="22"/>
          <w:szCs w:val="22"/>
        </w:rPr>
        <w:t xml:space="preserve"> az alábbiak szerint tervezi módosítani:</w:t>
      </w:r>
    </w:p>
    <w:p w:rsidR="008E6466" w:rsidRPr="00520824" w:rsidRDefault="008E6466" w:rsidP="00452D3F">
      <w:pPr>
        <w:pStyle w:val="1cm-rebehzott"/>
        <w:spacing w:line="276" w:lineRule="auto"/>
        <w:ind w:firstLine="708"/>
        <w:rPr>
          <w:bCs/>
          <w:sz w:val="22"/>
          <w:szCs w:val="22"/>
        </w:rPr>
      </w:pPr>
    </w:p>
    <w:p w:rsidR="008E6466" w:rsidRPr="00520824" w:rsidRDefault="008E6466" w:rsidP="00452D3F">
      <w:pPr>
        <w:pStyle w:val="1cm-rebehzott"/>
        <w:spacing w:line="276" w:lineRule="auto"/>
        <w:ind w:firstLine="708"/>
        <w:rPr>
          <w:bCs/>
          <w:i/>
          <w:sz w:val="22"/>
          <w:szCs w:val="22"/>
        </w:rPr>
      </w:pPr>
      <w:r w:rsidRPr="00520824">
        <w:rPr>
          <w:bCs/>
          <w:i/>
          <w:sz w:val="22"/>
          <w:szCs w:val="22"/>
        </w:rPr>
        <w:t>„(2) A cselekvőképességet érintő gondnokság alá helyezés iránti kereseti kérelem irányulhat a választási eljárásról szóló 1997. évi C. törvény 11/</w:t>
      </w:r>
      <w:proofErr w:type="gramStart"/>
      <w:r w:rsidRPr="00520824">
        <w:rPr>
          <w:bCs/>
          <w:i/>
          <w:sz w:val="22"/>
          <w:szCs w:val="22"/>
        </w:rPr>
        <w:t>A</w:t>
      </w:r>
      <w:proofErr w:type="gramEnd"/>
      <w:r w:rsidRPr="00520824">
        <w:rPr>
          <w:bCs/>
          <w:i/>
          <w:sz w:val="22"/>
          <w:szCs w:val="22"/>
        </w:rPr>
        <w:t>. §</w:t>
      </w:r>
      <w:proofErr w:type="spellStart"/>
      <w:r w:rsidRPr="00520824">
        <w:rPr>
          <w:bCs/>
          <w:i/>
          <w:sz w:val="22"/>
          <w:szCs w:val="22"/>
        </w:rPr>
        <w:t>-</w:t>
      </w:r>
      <w:proofErr w:type="gramStart"/>
      <w:r w:rsidRPr="00520824">
        <w:rPr>
          <w:bCs/>
          <w:i/>
          <w:sz w:val="22"/>
          <w:szCs w:val="22"/>
        </w:rPr>
        <w:t>a</w:t>
      </w:r>
      <w:proofErr w:type="spellEnd"/>
      <w:proofErr w:type="gramEnd"/>
      <w:r w:rsidRPr="00520824">
        <w:rPr>
          <w:bCs/>
          <w:i/>
          <w:sz w:val="22"/>
          <w:szCs w:val="22"/>
        </w:rPr>
        <w:t xml:space="preserve"> alapján a választójogból való kizárásra, valamint a cselekvőképességet korlátozó gondnokság alá helyezési iránti kereseti kérelem a gondnokolandó személy cselekvőképességének általános vagy részleges, a Ptk. 14. § (6) bekezdésében meghatározott egyes ügycsoportok tekintetében fennálló korlátozására is.</w:t>
      </w:r>
    </w:p>
    <w:p w:rsidR="008E6466" w:rsidRPr="00520824" w:rsidRDefault="008E6466" w:rsidP="00452D3F">
      <w:pPr>
        <w:pStyle w:val="1cm-rebehzott"/>
        <w:spacing w:line="276" w:lineRule="auto"/>
        <w:ind w:firstLine="708"/>
        <w:rPr>
          <w:bCs/>
          <w:i/>
          <w:sz w:val="22"/>
          <w:szCs w:val="22"/>
        </w:rPr>
      </w:pPr>
    </w:p>
    <w:p w:rsidR="008E6466" w:rsidRPr="00520824" w:rsidRDefault="008E6466" w:rsidP="00452D3F">
      <w:pPr>
        <w:pStyle w:val="1cm-rebehzott"/>
        <w:spacing w:line="276" w:lineRule="auto"/>
        <w:ind w:firstLine="708"/>
        <w:rPr>
          <w:bCs/>
          <w:i/>
          <w:sz w:val="22"/>
          <w:szCs w:val="22"/>
        </w:rPr>
      </w:pPr>
      <w:r w:rsidRPr="00520824">
        <w:rPr>
          <w:bCs/>
          <w:i/>
          <w:sz w:val="22"/>
          <w:szCs w:val="22"/>
        </w:rPr>
        <w:t>(3) A kötelező felülvizsgálat iránti eljárásban a kereseti kérelem a Ptk. 21. § (4) bekezdésében meghatározottakra, valamint a választójogból való kizárásra vagy a választójogból való kizárás megszüntetésére irányulhat.”</w:t>
      </w:r>
    </w:p>
    <w:p w:rsidR="008E6466" w:rsidRPr="00520824" w:rsidRDefault="008E6466" w:rsidP="00452D3F">
      <w:pPr>
        <w:pStyle w:val="1cm-rebehzott"/>
        <w:spacing w:line="276" w:lineRule="auto"/>
        <w:ind w:firstLine="708"/>
        <w:rPr>
          <w:bCs/>
          <w:i/>
          <w:sz w:val="22"/>
          <w:szCs w:val="22"/>
        </w:rPr>
      </w:pPr>
    </w:p>
    <w:p w:rsidR="008E6466" w:rsidRPr="00520824" w:rsidRDefault="008E6466" w:rsidP="00452D3F">
      <w:pPr>
        <w:pStyle w:val="1cm-rebehzott"/>
        <w:spacing w:line="276" w:lineRule="auto"/>
        <w:ind w:firstLine="708"/>
        <w:rPr>
          <w:bCs/>
          <w:i/>
          <w:sz w:val="22"/>
          <w:szCs w:val="22"/>
        </w:rPr>
      </w:pPr>
      <w:r w:rsidRPr="00520824">
        <w:rPr>
          <w:bCs/>
          <w:i/>
          <w:sz w:val="22"/>
          <w:szCs w:val="22"/>
        </w:rPr>
        <w:t xml:space="preserve">(2) A </w:t>
      </w:r>
      <w:proofErr w:type="spellStart"/>
      <w:r w:rsidRPr="00520824">
        <w:rPr>
          <w:bCs/>
          <w:i/>
          <w:sz w:val="22"/>
          <w:szCs w:val="22"/>
        </w:rPr>
        <w:t>Gyer</w:t>
      </w:r>
      <w:proofErr w:type="spellEnd"/>
      <w:r w:rsidRPr="00520824">
        <w:rPr>
          <w:bCs/>
          <w:i/>
          <w:sz w:val="22"/>
          <w:szCs w:val="22"/>
        </w:rPr>
        <w:t>. 145. § (4) bekezdés b) pontja helyébe a következő rendelkezés lép:</w:t>
      </w:r>
    </w:p>
    <w:p w:rsidR="008E6466" w:rsidRPr="00520824" w:rsidRDefault="008E6466" w:rsidP="00452D3F">
      <w:pPr>
        <w:pStyle w:val="1cm-rebehzott"/>
        <w:spacing w:line="276" w:lineRule="auto"/>
        <w:ind w:firstLine="708"/>
        <w:rPr>
          <w:bCs/>
          <w:i/>
          <w:sz w:val="22"/>
          <w:szCs w:val="22"/>
        </w:rPr>
      </w:pPr>
    </w:p>
    <w:p w:rsidR="008E6466" w:rsidRPr="00520824" w:rsidRDefault="008E6466" w:rsidP="00452D3F">
      <w:pPr>
        <w:pStyle w:val="1cm-rebehzott"/>
        <w:spacing w:line="276" w:lineRule="auto"/>
        <w:ind w:firstLine="708"/>
        <w:rPr>
          <w:bCs/>
          <w:i/>
          <w:sz w:val="22"/>
          <w:szCs w:val="22"/>
        </w:rPr>
      </w:pPr>
      <w:r w:rsidRPr="00520824">
        <w:rPr>
          <w:bCs/>
          <w:i/>
          <w:sz w:val="22"/>
          <w:szCs w:val="22"/>
        </w:rPr>
        <w:t>(A keresetlevélhez csatolni kell a gondnokság alá helyezendő, illetőleg a gondnokság alatt álló személy)</w:t>
      </w:r>
    </w:p>
    <w:p w:rsidR="008E6466" w:rsidRPr="00520824" w:rsidRDefault="008E6466" w:rsidP="00452D3F">
      <w:pPr>
        <w:pStyle w:val="1cm-rebehzott"/>
        <w:spacing w:line="276" w:lineRule="auto"/>
        <w:ind w:firstLine="708"/>
        <w:rPr>
          <w:bCs/>
          <w:i/>
          <w:sz w:val="22"/>
          <w:szCs w:val="22"/>
        </w:rPr>
      </w:pPr>
    </w:p>
    <w:p w:rsidR="008E6466" w:rsidRPr="00452D3F" w:rsidRDefault="008E6466" w:rsidP="00452D3F">
      <w:pPr>
        <w:pStyle w:val="1cm-rebehzott"/>
        <w:spacing w:line="276" w:lineRule="auto"/>
        <w:ind w:firstLine="708"/>
        <w:rPr>
          <w:bCs/>
          <w:i/>
          <w:sz w:val="22"/>
          <w:szCs w:val="22"/>
        </w:rPr>
      </w:pPr>
      <w:r w:rsidRPr="00452D3F">
        <w:rPr>
          <w:bCs/>
          <w:i/>
          <w:iCs/>
          <w:sz w:val="22"/>
          <w:szCs w:val="22"/>
        </w:rPr>
        <w:t>„b)</w:t>
      </w:r>
      <w:r w:rsidRPr="00452D3F">
        <w:rPr>
          <w:bCs/>
          <w:i/>
          <w:sz w:val="22"/>
          <w:szCs w:val="22"/>
        </w:rPr>
        <w:t xml:space="preserve"> elmeállapotára vonatkozó szakorvosi véleményt és a választási eljárásról szóló 1997. évi C. törvény 11/</w:t>
      </w:r>
      <w:proofErr w:type="gramStart"/>
      <w:r w:rsidRPr="00452D3F">
        <w:rPr>
          <w:bCs/>
          <w:i/>
          <w:sz w:val="22"/>
          <w:szCs w:val="22"/>
        </w:rPr>
        <w:t>A</w:t>
      </w:r>
      <w:proofErr w:type="gramEnd"/>
      <w:r w:rsidRPr="00452D3F">
        <w:rPr>
          <w:bCs/>
          <w:i/>
          <w:sz w:val="22"/>
          <w:szCs w:val="22"/>
        </w:rPr>
        <w:t>. § (2) bekezdésére vonatkozó előzetes szakorvosi véleményt.”</w:t>
      </w:r>
    </w:p>
    <w:p w:rsidR="008E6466" w:rsidRPr="00520824" w:rsidRDefault="008E6466" w:rsidP="00452D3F">
      <w:pPr>
        <w:pStyle w:val="1cm-rebehzott"/>
        <w:spacing w:line="276" w:lineRule="auto"/>
        <w:ind w:firstLine="0"/>
        <w:rPr>
          <w:bCs/>
          <w:i/>
          <w:sz w:val="22"/>
          <w:szCs w:val="22"/>
        </w:rPr>
      </w:pPr>
    </w:p>
    <w:p w:rsidR="00C3235B" w:rsidRPr="00520824" w:rsidRDefault="00C3235B" w:rsidP="00452D3F">
      <w:pPr>
        <w:pStyle w:val="1cm-rebehzott"/>
        <w:spacing w:line="276" w:lineRule="auto"/>
        <w:ind w:firstLine="708"/>
        <w:rPr>
          <w:bCs/>
          <w:i/>
          <w:sz w:val="22"/>
          <w:szCs w:val="22"/>
        </w:rPr>
      </w:pPr>
    </w:p>
    <w:p w:rsidR="008B6CCE" w:rsidRPr="00452D3F" w:rsidRDefault="000A7F87" w:rsidP="00452D3F">
      <w:pPr>
        <w:pStyle w:val="NormlWeb"/>
        <w:spacing w:line="276" w:lineRule="auto"/>
        <w:jc w:val="both"/>
        <w:rPr>
          <w:b/>
          <w:sz w:val="22"/>
          <w:szCs w:val="22"/>
        </w:rPr>
      </w:pPr>
      <w:r w:rsidRPr="00452D3F">
        <w:rPr>
          <w:b/>
          <w:sz w:val="22"/>
          <w:szCs w:val="22"/>
        </w:rPr>
        <w:t>Szövetségünk mind az Alaptörvény mind pedig a</w:t>
      </w:r>
      <w:r w:rsidRPr="00452D3F">
        <w:rPr>
          <w:b/>
          <w:bCs/>
          <w:sz w:val="22"/>
          <w:szCs w:val="22"/>
        </w:rPr>
        <w:t>z egyes törvények Alaptörvénnyel összefüggő módosításáról szóló 2011. évi CCI. törvény választási eljárást módosító szakaszánál jelezte, hogy nem tartja elfogadhatónak a választójo</w:t>
      </w:r>
      <w:r w:rsidR="0094255D" w:rsidRPr="00452D3F">
        <w:rPr>
          <w:b/>
          <w:bCs/>
          <w:sz w:val="22"/>
          <w:szCs w:val="22"/>
        </w:rPr>
        <w:t>g bírói úton történő megvonását</w:t>
      </w:r>
      <w:r w:rsidR="008B6CCE" w:rsidRPr="00452D3F">
        <w:rPr>
          <w:b/>
          <w:bCs/>
          <w:sz w:val="22"/>
          <w:szCs w:val="22"/>
        </w:rPr>
        <w:t xml:space="preserve"> és azt javasoltuk, hogy </w:t>
      </w:r>
      <w:r w:rsidR="008B6CCE" w:rsidRPr="00452D3F">
        <w:rPr>
          <w:b/>
          <w:sz w:val="22"/>
          <w:szCs w:val="22"/>
        </w:rPr>
        <w:t>az állam mondjon le a gondnokság alá helyezett és/vagy fogyatékos állampolgárok választójogának korlátozásáról.</w:t>
      </w:r>
    </w:p>
    <w:p w:rsidR="008B6CCE" w:rsidRPr="00520824" w:rsidRDefault="008B6CCE" w:rsidP="00452D3F">
      <w:pPr>
        <w:jc w:val="both"/>
        <w:rPr>
          <w:rFonts w:ascii="Times New Roman" w:hAnsi="Times New Roman"/>
          <w:bCs/>
        </w:rPr>
      </w:pPr>
      <w:r w:rsidRPr="00520824">
        <w:rPr>
          <w:rFonts w:ascii="Times New Roman" w:hAnsi="Times New Roman"/>
          <w:bCs/>
        </w:rPr>
        <w:t>Főbb indokaink akkor a következők voltak:</w:t>
      </w:r>
    </w:p>
    <w:p w:rsidR="0094255D" w:rsidRPr="00520824" w:rsidRDefault="0094255D" w:rsidP="00452D3F">
      <w:pPr>
        <w:pStyle w:val="Listaszerbekezds"/>
        <w:numPr>
          <w:ilvl w:val="0"/>
          <w:numId w:val="15"/>
        </w:numPr>
        <w:jc w:val="both"/>
        <w:rPr>
          <w:rFonts w:ascii="Times New Roman" w:hAnsi="Times New Roman"/>
        </w:rPr>
      </w:pPr>
      <w:r w:rsidRPr="00520824">
        <w:rPr>
          <w:rFonts w:ascii="Times New Roman" w:hAnsi="Times New Roman"/>
        </w:rPr>
        <w:t>A gondnokság alá helyezett személyek csoportjába többek között autista, értelmi fogyatékos, pszicho-szociális fogyatékossággal élő, szenvedélybeteg vagy időskori leépüléssel küzdő emberek tartoznak, de attól</w:t>
      </w:r>
      <w:r w:rsidR="008B6CCE" w:rsidRPr="00520824">
        <w:rPr>
          <w:rFonts w:ascii="Times New Roman" w:hAnsi="Times New Roman"/>
        </w:rPr>
        <w:t>,</w:t>
      </w:r>
      <w:r w:rsidRPr="00520824">
        <w:rPr>
          <w:rFonts w:ascii="Times New Roman" w:hAnsi="Times New Roman"/>
        </w:rPr>
        <w:t xml:space="preserve"> mert valaki a fentebbi csoportok valamelyikébe tartozik</w:t>
      </w:r>
      <w:r w:rsidR="008B6CCE" w:rsidRPr="00520824">
        <w:rPr>
          <w:rFonts w:ascii="Times New Roman" w:hAnsi="Times New Roman"/>
        </w:rPr>
        <w:t>,</w:t>
      </w:r>
      <w:r w:rsidRPr="00520824">
        <w:rPr>
          <w:rFonts w:ascii="Times New Roman" w:hAnsi="Times New Roman"/>
        </w:rPr>
        <w:t xml:space="preserve"> még nem feltétlenül van gond</w:t>
      </w:r>
      <w:r w:rsidR="008B6CCE" w:rsidRPr="00520824">
        <w:rPr>
          <w:rFonts w:ascii="Times New Roman" w:hAnsi="Times New Roman"/>
        </w:rPr>
        <w:t>n</w:t>
      </w:r>
      <w:r w:rsidRPr="00520824">
        <w:rPr>
          <w:rFonts w:ascii="Times New Roman" w:hAnsi="Times New Roman"/>
        </w:rPr>
        <w:t xml:space="preserve">okság alatt. Ez azt jelenti, hogy </w:t>
      </w:r>
      <w:r w:rsidR="008B6CCE" w:rsidRPr="00520824">
        <w:rPr>
          <w:rFonts w:ascii="Times New Roman" w:hAnsi="Times New Roman"/>
        </w:rPr>
        <w:t xml:space="preserve">például az értelmi fogyatékos emberek egy </w:t>
      </w:r>
      <w:r w:rsidRPr="00520824">
        <w:rPr>
          <w:rFonts w:ascii="Times New Roman" w:hAnsi="Times New Roman"/>
        </w:rPr>
        <w:t xml:space="preserve">része cselekvőképes, így </w:t>
      </w:r>
      <w:r w:rsidR="008B6CCE" w:rsidRPr="00520824">
        <w:rPr>
          <w:rFonts w:ascii="Times New Roman" w:hAnsi="Times New Roman"/>
        </w:rPr>
        <w:t xml:space="preserve">jelenleg is </w:t>
      </w:r>
      <w:r w:rsidRPr="00520824">
        <w:rPr>
          <w:rFonts w:ascii="Times New Roman" w:hAnsi="Times New Roman"/>
        </w:rPr>
        <w:t>választójoggal bír</w:t>
      </w:r>
      <w:r w:rsidR="008B6CCE" w:rsidRPr="00520824">
        <w:rPr>
          <w:rFonts w:ascii="Times New Roman" w:hAnsi="Times New Roman"/>
        </w:rPr>
        <w:t>.</w:t>
      </w:r>
    </w:p>
    <w:p w:rsidR="008B6CCE" w:rsidRPr="00520824" w:rsidRDefault="008B6CCE" w:rsidP="00452D3F">
      <w:pPr>
        <w:pStyle w:val="NormlWeb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520824">
        <w:rPr>
          <w:sz w:val="22"/>
          <w:szCs w:val="22"/>
        </w:rPr>
        <w:t>Nem alakítható ki olyan vizsgálati módszer, amellyel a „a választójoggal kapcsolatos belátási képesség”</w:t>
      </w:r>
      <w:r w:rsidR="00452D3F">
        <w:rPr>
          <w:sz w:val="22"/>
          <w:szCs w:val="22"/>
        </w:rPr>
        <w:t xml:space="preserve"> objektíven mérhető,</w:t>
      </w:r>
      <w:r w:rsidR="00F40630" w:rsidRPr="00520824">
        <w:rPr>
          <w:sz w:val="22"/>
          <w:szCs w:val="22"/>
        </w:rPr>
        <w:t xml:space="preserve"> és noha a gond</w:t>
      </w:r>
      <w:r w:rsidR="00452D3F">
        <w:rPr>
          <w:sz w:val="22"/>
          <w:szCs w:val="22"/>
        </w:rPr>
        <w:t>n</w:t>
      </w:r>
      <w:r w:rsidR="00F40630" w:rsidRPr="00520824">
        <w:rPr>
          <w:sz w:val="22"/>
          <w:szCs w:val="22"/>
        </w:rPr>
        <w:t>okság alá helyezettek között kétségtelenül vannak súlyosan fogyatékos személyek</w:t>
      </w:r>
      <w:r w:rsidR="00C97AD3">
        <w:rPr>
          <w:sz w:val="22"/>
          <w:szCs w:val="22"/>
        </w:rPr>
        <w:t xml:space="preserve"> is</w:t>
      </w:r>
      <w:r w:rsidR="00F40630" w:rsidRPr="00520824">
        <w:rPr>
          <w:sz w:val="22"/>
          <w:szCs w:val="22"/>
        </w:rPr>
        <w:t>, akik aligha fognak valaha is részt venni a szavazásokon részvételi joguk elismerése egyenlő rangú állampolgárságuk miatt kulcskérdés.</w:t>
      </w:r>
    </w:p>
    <w:p w:rsidR="008B6CCE" w:rsidRPr="00520824" w:rsidRDefault="008B6CCE" w:rsidP="00452D3F">
      <w:pPr>
        <w:pStyle w:val="NormlWeb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520824">
        <w:rPr>
          <w:sz w:val="22"/>
          <w:szCs w:val="22"/>
        </w:rPr>
        <w:t>Igazságtalan és diszkriminatív, ha a szavazati jog gyakorlásához szükséges képességeket csak a gondnokság alá helyezett személyek esetében tesztelik, míg más választópolgárok belátási képességét nem vizsgálják.</w:t>
      </w:r>
    </w:p>
    <w:p w:rsidR="00F40630" w:rsidRPr="00520824" w:rsidRDefault="00C97AD3" w:rsidP="00452D3F">
      <w:pPr>
        <w:pStyle w:val="NormlWeb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A választó jogosultság elvonása melletti gyakori érv </w:t>
      </w:r>
      <w:r w:rsidR="00F40630" w:rsidRPr="00520824">
        <w:rPr>
          <w:sz w:val="22"/>
          <w:szCs w:val="22"/>
        </w:rPr>
        <w:t xml:space="preserve">a gondnokság alatt állók vagy a fogyatékos emberek vonatkozásában befolyásolhatóságuk és a választási manipulációknak való fokozott kitettségük. A választási kampányok a választópolgárok különböző eszközökkel történő befolyásolásáról szólnak, a kampányok során bekövetkező jogsértő magatartások feltárása pedig a hatóságok feladata így ez nem indokolhatja a választójog elvonását vagy bírói mérlegelési jogkörbe utalását. </w:t>
      </w:r>
    </w:p>
    <w:p w:rsidR="008B6CCE" w:rsidRPr="00520824" w:rsidRDefault="00F40630" w:rsidP="00452D3F">
      <w:pPr>
        <w:jc w:val="both"/>
        <w:rPr>
          <w:rFonts w:ascii="Times New Roman" w:hAnsi="Times New Roman"/>
        </w:rPr>
      </w:pPr>
      <w:r w:rsidRPr="00520824">
        <w:rPr>
          <w:rFonts w:ascii="Times New Roman" w:hAnsi="Times New Roman"/>
        </w:rPr>
        <w:t>Tisztában vagyunk azzal, hogy az Alaptörvény és a választási eljárásról szóló törvény elfogadása után a gyámhatóságok eljárására vonatokozó szabályozás „kényszerpályán” mozog.</w:t>
      </w:r>
    </w:p>
    <w:p w:rsidR="00C97AD3" w:rsidRDefault="00F40630" w:rsidP="00452D3F">
      <w:pPr>
        <w:jc w:val="both"/>
        <w:rPr>
          <w:rFonts w:ascii="Times New Roman" w:hAnsi="Times New Roman"/>
          <w:b/>
          <w:lang w:eastAsia="hu-HU"/>
        </w:rPr>
      </w:pPr>
      <w:r w:rsidRPr="00452D3F">
        <w:rPr>
          <w:rFonts w:ascii="Times New Roman" w:hAnsi="Times New Roman"/>
          <w:b/>
        </w:rPr>
        <w:t>Azt javasoljuk azonban, hogy a gyámhatóságok által benyújtott keresetlev</w:t>
      </w:r>
      <w:r w:rsidR="000A6BD0" w:rsidRPr="00452D3F">
        <w:rPr>
          <w:rFonts w:ascii="Times New Roman" w:hAnsi="Times New Roman"/>
          <w:b/>
        </w:rPr>
        <w:t>él és az azt kiegészítő szakorvosi dokumentumok mellett jelenjen meg egy gyógypedagógusból, szociális munkásból, pszichológusból valamint a gondnokság alatt álló személy segítőjéből álló multidiszciplináris testület szakvéleménye is, mert a választójogból való kizárás megállapítása nem alapulhat kizárólag az</w:t>
      </w:r>
      <w:r w:rsidR="00520824" w:rsidRPr="00452D3F">
        <w:rPr>
          <w:rFonts w:ascii="Times New Roman" w:hAnsi="Times New Roman"/>
          <w:b/>
        </w:rPr>
        <w:t xml:space="preserve"> orvosi diagnózisokon. Egy olyan </w:t>
      </w:r>
      <w:r w:rsidR="00114448" w:rsidRPr="00452D3F">
        <w:rPr>
          <w:rFonts w:ascii="Times New Roman" w:hAnsi="Times New Roman"/>
          <w:b/>
          <w:lang w:eastAsia="hu-HU"/>
        </w:rPr>
        <w:t>komplex értékelésre van szükség, amely magában foglalja a személy</w:t>
      </w:r>
      <w:r w:rsidR="00520824" w:rsidRPr="00452D3F">
        <w:rPr>
          <w:rFonts w:ascii="Times New Roman" w:hAnsi="Times New Roman"/>
          <w:b/>
          <w:lang w:eastAsia="hu-HU"/>
        </w:rPr>
        <w:t xml:space="preserve"> </w:t>
      </w:r>
      <w:r w:rsidR="00114448" w:rsidRPr="00452D3F">
        <w:rPr>
          <w:rFonts w:ascii="Times New Roman" w:hAnsi="Times New Roman"/>
          <w:b/>
          <w:lang w:eastAsia="hu-HU"/>
        </w:rPr>
        <w:t>szociális helyzetének, a környezetében fellelhető emberi és anyagi erőforrásoknak a</w:t>
      </w:r>
      <w:r w:rsidR="00520824" w:rsidRPr="00452D3F">
        <w:rPr>
          <w:rFonts w:ascii="Times New Roman" w:hAnsi="Times New Roman"/>
          <w:b/>
          <w:lang w:eastAsia="hu-HU"/>
        </w:rPr>
        <w:t xml:space="preserve"> </w:t>
      </w:r>
      <w:r w:rsidR="00114448" w:rsidRPr="00452D3F">
        <w:rPr>
          <w:rFonts w:ascii="Times New Roman" w:hAnsi="Times New Roman"/>
          <w:b/>
          <w:lang w:eastAsia="hu-HU"/>
        </w:rPr>
        <w:t>vizsgálatát és annak a mérlegelését, hogy ezeknek az erőforrásoknak a</w:t>
      </w:r>
      <w:r w:rsidR="00520824" w:rsidRPr="00452D3F">
        <w:rPr>
          <w:rFonts w:ascii="Times New Roman" w:hAnsi="Times New Roman"/>
          <w:b/>
          <w:lang w:eastAsia="hu-HU"/>
        </w:rPr>
        <w:t xml:space="preserve"> </w:t>
      </w:r>
      <w:r w:rsidR="00114448" w:rsidRPr="00452D3F">
        <w:rPr>
          <w:rFonts w:ascii="Times New Roman" w:hAnsi="Times New Roman"/>
          <w:b/>
          <w:lang w:eastAsia="hu-HU"/>
        </w:rPr>
        <w:t xml:space="preserve">felhasználásával az egyén </w:t>
      </w:r>
      <w:r w:rsidR="00520824" w:rsidRPr="00452D3F">
        <w:rPr>
          <w:rFonts w:ascii="Times New Roman" w:hAnsi="Times New Roman"/>
          <w:b/>
          <w:lang w:eastAsia="hu-HU"/>
        </w:rPr>
        <w:t xml:space="preserve">képes lesz-e választójogát gyakorolni. </w:t>
      </w:r>
    </w:p>
    <w:p w:rsidR="00114448" w:rsidRDefault="00114448" w:rsidP="00C97AD3">
      <w:pPr>
        <w:jc w:val="both"/>
        <w:rPr>
          <w:rFonts w:ascii="Times New Roman" w:hAnsi="Times New Roman"/>
          <w:lang w:eastAsia="hu-HU"/>
        </w:rPr>
      </w:pPr>
      <w:r w:rsidRPr="00520824">
        <w:rPr>
          <w:rFonts w:ascii="Times New Roman" w:hAnsi="Times New Roman"/>
          <w:lang w:eastAsia="hu-HU"/>
        </w:rPr>
        <w:t>A fogyatékos személy akadályozottságának</w:t>
      </w:r>
      <w:r w:rsidR="00520824" w:rsidRPr="00520824">
        <w:rPr>
          <w:rFonts w:ascii="Times New Roman" w:hAnsi="Times New Roman"/>
          <w:lang w:eastAsia="hu-HU"/>
        </w:rPr>
        <w:t xml:space="preserve"> </w:t>
      </w:r>
      <w:r w:rsidRPr="00520824">
        <w:rPr>
          <w:rFonts w:ascii="Times New Roman" w:hAnsi="Times New Roman"/>
          <w:lang w:eastAsia="hu-HU"/>
        </w:rPr>
        <w:t>mértéke nem állapítható meg pusztán orvosi szakértelem</w:t>
      </w:r>
      <w:r w:rsidR="00520824" w:rsidRPr="00520824">
        <w:rPr>
          <w:rFonts w:ascii="Times New Roman" w:hAnsi="Times New Roman"/>
          <w:lang w:eastAsia="hu-HU"/>
        </w:rPr>
        <w:t xml:space="preserve"> </w:t>
      </w:r>
      <w:r w:rsidRPr="00520824">
        <w:rPr>
          <w:rFonts w:ascii="Times New Roman" w:hAnsi="Times New Roman"/>
          <w:lang w:eastAsia="hu-HU"/>
        </w:rPr>
        <w:t xml:space="preserve">igénybevételével. </w:t>
      </w:r>
      <w:proofErr w:type="gramStart"/>
      <w:r w:rsidRPr="00520824">
        <w:rPr>
          <w:rFonts w:ascii="Times New Roman" w:hAnsi="Times New Roman"/>
          <w:lang w:eastAsia="hu-HU"/>
        </w:rPr>
        <w:t>Két orvosi szempontból teljesen azonos fogyatékos személy (pl.</w:t>
      </w:r>
      <w:r w:rsidR="00520824" w:rsidRPr="00520824">
        <w:rPr>
          <w:rFonts w:ascii="Times New Roman" w:hAnsi="Times New Roman"/>
          <w:lang w:eastAsia="hu-HU"/>
        </w:rPr>
        <w:t xml:space="preserve"> </w:t>
      </w:r>
      <w:r w:rsidRPr="00520824">
        <w:rPr>
          <w:rFonts w:ascii="Times New Roman" w:hAnsi="Times New Roman"/>
          <w:lang w:eastAsia="hu-HU"/>
        </w:rPr>
        <w:t xml:space="preserve">Down </w:t>
      </w:r>
      <w:r w:rsidR="00C97AD3">
        <w:rPr>
          <w:rFonts w:ascii="Times New Roman" w:hAnsi="Times New Roman"/>
          <w:lang w:eastAsia="hu-HU"/>
        </w:rPr>
        <w:t>szindrómás</w:t>
      </w:r>
      <w:r w:rsidRPr="00520824">
        <w:rPr>
          <w:rFonts w:ascii="Times New Roman" w:hAnsi="Times New Roman"/>
          <w:lang w:eastAsia="hu-HU"/>
        </w:rPr>
        <w:t xml:space="preserve"> vagy súlyo</w:t>
      </w:r>
      <w:r w:rsidR="00C97AD3">
        <w:rPr>
          <w:rFonts w:ascii="Times New Roman" w:hAnsi="Times New Roman"/>
          <w:lang w:eastAsia="hu-HU"/>
        </w:rPr>
        <w:t>s mániákus depressziós személy</w:t>
      </w:r>
      <w:r w:rsidRPr="00520824">
        <w:rPr>
          <w:rFonts w:ascii="Times New Roman" w:hAnsi="Times New Roman"/>
          <w:lang w:eastAsia="hu-HU"/>
        </w:rPr>
        <w:t>) ugyanis teljesen eltérő</w:t>
      </w:r>
      <w:r w:rsidR="00520824" w:rsidRPr="00520824">
        <w:rPr>
          <w:rFonts w:ascii="Times New Roman" w:hAnsi="Times New Roman"/>
          <w:lang w:eastAsia="hu-HU"/>
        </w:rPr>
        <w:t xml:space="preserve"> </w:t>
      </w:r>
      <w:r w:rsidRPr="00520824">
        <w:rPr>
          <w:rFonts w:ascii="Times New Roman" w:hAnsi="Times New Roman"/>
          <w:lang w:eastAsia="hu-HU"/>
        </w:rPr>
        <w:t>mértékben lehet képes ügyeit intézni olyan tényezők függvényében, amelyek az orvosi</w:t>
      </w:r>
      <w:r w:rsidR="00520824" w:rsidRPr="00520824">
        <w:rPr>
          <w:rFonts w:ascii="Times New Roman" w:hAnsi="Times New Roman"/>
          <w:lang w:eastAsia="hu-HU"/>
        </w:rPr>
        <w:t xml:space="preserve"> </w:t>
      </w:r>
      <w:r w:rsidRPr="00520824">
        <w:rPr>
          <w:rFonts w:ascii="Times New Roman" w:hAnsi="Times New Roman"/>
          <w:lang w:eastAsia="hu-HU"/>
        </w:rPr>
        <w:t>szakma látókörén kívül esnek (pl. részesült-e oktatásban, van-e gyakorlata az adott</w:t>
      </w:r>
      <w:r w:rsidR="00520824" w:rsidRPr="00520824">
        <w:rPr>
          <w:rFonts w:ascii="Times New Roman" w:hAnsi="Times New Roman"/>
          <w:lang w:eastAsia="hu-HU"/>
        </w:rPr>
        <w:t xml:space="preserve"> </w:t>
      </w:r>
      <w:r w:rsidRPr="00520824">
        <w:rPr>
          <w:rFonts w:ascii="Times New Roman" w:hAnsi="Times New Roman"/>
          <w:lang w:eastAsia="hu-HU"/>
        </w:rPr>
        <w:t>feladat megoldásában, mennyire akadálymentes – információs szempontból is – a</w:t>
      </w:r>
      <w:r w:rsidR="00520824" w:rsidRPr="00520824">
        <w:rPr>
          <w:rFonts w:ascii="Times New Roman" w:hAnsi="Times New Roman"/>
          <w:lang w:eastAsia="hu-HU"/>
        </w:rPr>
        <w:t xml:space="preserve"> </w:t>
      </w:r>
      <w:r w:rsidRPr="00520824">
        <w:rPr>
          <w:rFonts w:ascii="Times New Roman" w:hAnsi="Times New Roman"/>
          <w:lang w:eastAsia="hu-HU"/>
        </w:rPr>
        <w:t>környezete, részesül-e formális támogatásban vagy informális segítségben, stb.).</w:t>
      </w:r>
      <w:r w:rsidR="00520824" w:rsidRPr="00520824">
        <w:rPr>
          <w:rFonts w:ascii="Times New Roman" w:hAnsi="Times New Roman"/>
          <w:lang w:eastAsia="hu-HU"/>
        </w:rPr>
        <w:t xml:space="preserve"> </w:t>
      </w:r>
      <w:r w:rsidRPr="00520824">
        <w:rPr>
          <w:rFonts w:ascii="Times New Roman" w:hAnsi="Times New Roman"/>
          <w:lang w:eastAsia="hu-HU"/>
        </w:rPr>
        <w:t xml:space="preserve">Ennek alapján a </w:t>
      </w:r>
      <w:r w:rsidR="00520824" w:rsidRPr="00520824">
        <w:rPr>
          <w:rFonts w:ascii="Times New Roman" w:hAnsi="Times New Roman"/>
          <w:lang w:eastAsia="hu-HU"/>
        </w:rPr>
        <w:t xml:space="preserve">választójog megvonása </w:t>
      </w:r>
      <w:r w:rsidRPr="00520824">
        <w:rPr>
          <w:rFonts w:ascii="Times New Roman" w:hAnsi="Times New Roman"/>
          <w:lang w:eastAsia="hu-HU"/>
        </w:rPr>
        <w:t>nem a személy orvosi értelemben vett</w:t>
      </w:r>
      <w:r w:rsidR="00452D3F">
        <w:rPr>
          <w:rFonts w:ascii="Times New Roman" w:hAnsi="Times New Roman"/>
          <w:lang w:eastAsia="hu-HU"/>
        </w:rPr>
        <w:t xml:space="preserve"> </w:t>
      </w:r>
      <w:r w:rsidRPr="00520824">
        <w:rPr>
          <w:rFonts w:ascii="Times New Roman" w:hAnsi="Times New Roman"/>
          <w:lang w:eastAsia="hu-HU"/>
        </w:rPr>
        <w:t>fogyatékosságának (vagy betegségének), hanem a személy</w:t>
      </w:r>
      <w:proofErr w:type="gramEnd"/>
      <w:r w:rsidRPr="00520824">
        <w:rPr>
          <w:rFonts w:ascii="Times New Roman" w:hAnsi="Times New Roman"/>
          <w:lang w:eastAsia="hu-HU"/>
        </w:rPr>
        <w:t xml:space="preserve"> </w:t>
      </w:r>
      <w:proofErr w:type="gramStart"/>
      <w:r w:rsidRPr="00520824">
        <w:rPr>
          <w:rFonts w:ascii="Times New Roman" w:hAnsi="Times New Roman"/>
          <w:lang w:eastAsia="hu-HU"/>
        </w:rPr>
        <w:t>tényleges</w:t>
      </w:r>
      <w:proofErr w:type="gramEnd"/>
      <w:r w:rsidRPr="00520824">
        <w:rPr>
          <w:rFonts w:ascii="Times New Roman" w:hAnsi="Times New Roman"/>
          <w:lang w:eastAsia="hu-HU"/>
        </w:rPr>
        <w:t xml:space="preserve"> ügyintézési és</w:t>
      </w:r>
      <w:r w:rsidR="00452D3F">
        <w:rPr>
          <w:rFonts w:ascii="Times New Roman" w:hAnsi="Times New Roman"/>
          <w:lang w:eastAsia="hu-HU"/>
        </w:rPr>
        <w:t xml:space="preserve"> </w:t>
      </w:r>
      <w:r w:rsidRPr="00520824">
        <w:rPr>
          <w:rFonts w:ascii="Times New Roman" w:hAnsi="Times New Roman"/>
          <w:lang w:eastAsia="hu-HU"/>
        </w:rPr>
        <w:t>döntéshozási képességének a függvénye</w:t>
      </w:r>
      <w:r w:rsidR="00520824" w:rsidRPr="00520824">
        <w:rPr>
          <w:rFonts w:ascii="Times New Roman" w:hAnsi="Times New Roman"/>
          <w:lang w:eastAsia="hu-HU"/>
        </w:rPr>
        <w:t xml:space="preserve">, </w:t>
      </w:r>
      <w:r w:rsidRPr="00520824">
        <w:rPr>
          <w:rFonts w:ascii="Times New Roman" w:hAnsi="Times New Roman"/>
          <w:lang w:eastAsia="hu-HU"/>
        </w:rPr>
        <w:t>aminek vizsgálatához szükséges feltárni a személy tényleges képességeit és a tágabb</w:t>
      </w:r>
      <w:r w:rsidR="00520824" w:rsidRPr="00520824">
        <w:rPr>
          <w:rFonts w:ascii="Times New Roman" w:hAnsi="Times New Roman"/>
          <w:lang w:eastAsia="hu-HU"/>
        </w:rPr>
        <w:t xml:space="preserve"> </w:t>
      </w:r>
      <w:r w:rsidRPr="00520824">
        <w:rPr>
          <w:rFonts w:ascii="Times New Roman" w:hAnsi="Times New Roman"/>
          <w:lang w:eastAsia="hu-HU"/>
        </w:rPr>
        <w:t>értelemben vett környezete ügyintézést akadályozó vagy támogató/elősegítő jellegét is.</w:t>
      </w:r>
      <w:r w:rsidR="00520824" w:rsidRPr="00520824">
        <w:rPr>
          <w:rFonts w:ascii="Times New Roman" w:hAnsi="Times New Roman"/>
          <w:lang w:eastAsia="hu-HU"/>
        </w:rPr>
        <w:t xml:space="preserve"> </w:t>
      </w:r>
    </w:p>
    <w:p w:rsidR="00C97AD3" w:rsidRDefault="00C97AD3" w:rsidP="00C97AD3">
      <w:pPr>
        <w:jc w:val="both"/>
        <w:rPr>
          <w:rFonts w:ascii="Times New Roman" w:hAnsi="Times New Roman"/>
          <w:lang w:eastAsia="hu-HU"/>
        </w:rPr>
      </w:pPr>
    </w:p>
    <w:p w:rsidR="00C97AD3" w:rsidRDefault="00C97AD3" w:rsidP="00C97AD3">
      <w:pPr>
        <w:jc w:val="both"/>
        <w:rPr>
          <w:rFonts w:ascii="Times New Roman" w:hAnsi="Times New Roman"/>
          <w:lang w:eastAsia="hu-HU"/>
        </w:rPr>
      </w:pPr>
    </w:p>
    <w:p w:rsidR="00C97AD3" w:rsidRDefault="00C97AD3" w:rsidP="00C97AD3">
      <w:pPr>
        <w:jc w:val="both"/>
        <w:rPr>
          <w:rFonts w:ascii="Times New Roman" w:hAnsi="Times New Roman"/>
          <w:lang w:eastAsia="hu-HU"/>
        </w:rPr>
      </w:pPr>
      <w:r>
        <w:rPr>
          <w:rFonts w:ascii="Times New Roman" w:hAnsi="Times New Roman"/>
          <w:lang w:eastAsia="hu-HU"/>
        </w:rPr>
        <w:t>Budapest, 2012. február 7.</w:t>
      </w:r>
    </w:p>
    <w:p w:rsidR="00C97AD3" w:rsidRDefault="00C97AD3" w:rsidP="00C97AD3">
      <w:pPr>
        <w:jc w:val="both"/>
        <w:rPr>
          <w:rFonts w:ascii="Times New Roman" w:hAnsi="Times New Roman"/>
          <w:lang w:eastAsia="hu-HU"/>
        </w:rPr>
      </w:pPr>
    </w:p>
    <w:p w:rsidR="00C97AD3" w:rsidRPr="00520824" w:rsidRDefault="00C97AD3" w:rsidP="00C97AD3">
      <w:pPr>
        <w:jc w:val="both"/>
        <w:rPr>
          <w:rFonts w:ascii="Times New Roman" w:hAnsi="Times New Roman"/>
          <w:lang w:eastAsia="hu-HU"/>
        </w:rPr>
      </w:pPr>
    </w:p>
    <w:sectPr w:rsidR="00C97AD3" w:rsidRPr="00520824" w:rsidSect="00452D3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BA7" w:rsidRDefault="00276BA7" w:rsidP="00452D3F">
      <w:pPr>
        <w:spacing w:after="0" w:line="240" w:lineRule="auto"/>
      </w:pPr>
      <w:r>
        <w:separator/>
      </w:r>
    </w:p>
  </w:endnote>
  <w:endnote w:type="continuationSeparator" w:id="0">
    <w:p w:rsidR="00276BA7" w:rsidRDefault="00276BA7" w:rsidP="0045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12516"/>
      <w:docPartObj>
        <w:docPartGallery w:val="Page Numbers (Bottom of Page)"/>
        <w:docPartUnique/>
      </w:docPartObj>
    </w:sdtPr>
    <w:sdtContent>
      <w:p w:rsidR="00452D3F" w:rsidRDefault="00ED3023">
        <w:pPr>
          <w:pStyle w:val="llb"/>
        </w:pPr>
        <w:fldSimple w:instr=" PAGE   \* MERGEFORMAT ">
          <w:r w:rsidR="00F820FB">
            <w:rPr>
              <w:noProof/>
            </w:rPr>
            <w:t>2</w:t>
          </w:r>
        </w:fldSimple>
      </w:p>
    </w:sdtContent>
  </w:sdt>
  <w:p w:rsidR="00452D3F" w:rsidRDefault="00452D3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BA7" w:rsidRDefault="00276BA7" w:rsidP="00452D3F">
      <w:pPr>
        <w:spacing w:after="0" w:line="240" w:lineRule="auto"/>
      </w:pPr>
      <w:r>
        <w:separator/>
      </w:r>
    </w:p>
  </w:footnote>
  <w:footnote w:type="continuationSeparator" w:id="0">
    <w:p w:rsidR="00276BA7" w:rsidRDefault="00276BA7" w:rsidP="00452D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77DF"/>
    <w:multiLevelType w:val="hybridMultilevel"/>
    <w:tmpl w:val="E9167C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5D1C78"/>
    <w:multiLevelType w:val="multilevel"/>
    <w:tmpl w:val="040E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35B"/>
    <w:rsid w:val="000A6BD0"/>
    <w:rsid w:val="000A7F87"/>
    <w:rsid w:val="000F63CE"/>
    <w:rsid w:val="00114448"/>
    <w:rsid w:val="00276BA7"/>
    <w:rsid w:val="002C18BC"/>
    <w:rsid w:val="00380EB6"/>
    <w:rsid w:val="00452D3F"/>
    <w:rsid w:val="00520824"/>
    <w:rsid w:val="0056797F"/>
    <w:rsid w:val="006D74EF"/>
    <w:rsid w:val="00724DD7"/>
    <w:rsid w:val="008214D9"/>
    <w:rsid w:val="008B6CCE"/>
    <w:rsid w:val="008E6466"/>
    <w:rsid w:val="0094255D"/>
    <w:rsid w:val="00A210C6"/>
    <w:rsid w:val="00BA05F5"/>
    <w:rsid w:val="00C04B41"/>
    <w:rsid w:val="00C3235B"/>
    <w:rsid w:val="00C97AD3"/>
    <w:rsid w:val="00DA129B"/>
    <w:rsid w:val="00E7409B"/>
    <w:rsid w:val="00ED3023"/>
    <w:rsid w:val="00F40630"/>
    <w:rsid w:val="00F82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74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autoRedefine/>
    <w:qFormat/>
    <w:rsid w:val="006D74EF"/>
    <w:pPr>
      <w:keepNext/>
      <w:spacing w:before="240" w:after="60"/>
      <w:ind w:left="360"/>
      <w:outlineLvl w:val="1"/>
    </w:pPr>
    <w:rPr>
      <w:rFonts w:ascii="Garamond" w:eastAsia="Times New Roman" w:hAnsi="Garamond" w:cs="Arial"/>
      <w:b/>
      <w:bCs/>
      <w:iCs/>
      <w:color w:val="000080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6D74EF"/>
    <w:pPr>
      <w:keepNext/>
      <w:numPr>
        <w:ilvl w:val="2"/>
        <w:numId w:val="14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hu-HU"/>
    </w:rPr>
  </w:style>
  <w:style w:type="paragraph" w:styleId="Cmsor4">
    <w:name w:val="heading 4"/>
    <w:basedOn w:val="Norml"/>
    <w:next w:val="Norml"/>
    <w:link w:val="Cmsor4Char"/>
    <w:qFormat/>
    <w:rsid w:val="006D74EF"/>
    <w:pPr>
      <w:keepNext/>
      <w:numPr>
        <w:ilvl w:val="3"/>
        <w:numId w:val="14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6D74EF"/>
    <w:pPr>
      <w:numPr>
        <w:ilvl w:val="4"/>
        <w:numId w:val="14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6D74EF"/>
    <w:pPr>
      <w:numPr>
        <w:ilvl w:val="5"/>
        <w:numId w:val="14"/>
      </w:numPr>
      <w:spacing w:before="240" w:after="60"/>
      <w:outlineLvl w:val="5"/>
    </w:pPr>
    <w:rPr>
      <w:rFonts w:ascii="Times New Roman" w:eastAsia="Times New Roman" w:hAnsi="Times New Roman"/>
      <w:b/>
      <w:bCs/>
      <w:lang w:eastAsia="hu-HU"/>
    </w:rPr>
  </w:style>
  <w:style w:type="paragraph" w:styleId="Cmsor7">
    <w:name w:val="heading 7"/>
    <w:basedOn w:val="Norml"/>
    <w:next w:val="Norml"/>
    <w:link w:val="Cmsor7Char"/>
    <w:qFormat/>
    <w:rsid w:val="006D74EF"/>
    <w:pPr>
      <w:numPr>
        <w:ilvl w:val="6"/>
        <w:numId w:val="14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6D74EF"/>
    <w:pPr>
      <w:numPr>
        <w:ilvl w:val="7"/>
        <w:numId w:val="14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6D74EF"/>
    <w:pPr>
      <w:numPr>
        <w:ilvl w:val="8"/>
        <w:numId w:val="14"/>
      </w:numPr>
      <w:spacing w:before="240" w:after="60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6D74EF"/>
    <w:rPr>
      <w:rFonts w:ascii="Garamond" w:hAnsi="Garamond" w:cs="Arial"/>
      <w:b/>
      <w:bCs/>
      <w:iCs/>
      <w:color w:val="000080"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6D74EF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6D74EF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6D74EF"/>
    <w:rPr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6D74EF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6D74EF"/>
    <w:rPr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6D74EF"/>
    <w:rPr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rsid w:val="006D74EF"/>
    <w:rPr>
      <w:rFonts w:ascii="Arial" w:hAnsi="Arial" w:cs="Arial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6D74EF"/>
    <w:pPr>
      <w:spacing w:after="300"/>
      <w:contextualSpacing/>
    </w:pPr>
    <w:rPr>
      <w:rFonts w:ascii="Arial" w:eastAsia="Times New Roman" w:hAnsi="Arial"/>
      <w:smallCaps/>
      <w:sz w:val="52"/>
      <w:szCs w:val="52"/>
      <w:lang w:eastAsia="hu-HU"/>
    </w:rPr>
  </w:style>
  <w:style w:type="character" w:customStyle="1" w:styleId="CmChar">
    <w:name w:val="Cím Char"/>
    <w:basedOn w:val="Bekezdsalapbettpusa"/>
    <w:link w:val="Cm"/>
    <w:rsid w:val="006D74EF"/>
    <w:rPr>
      <w:rFonts w:ascii="Arial" w:hAnsi="Arial"/>
      <w:smallCaps/>
      <w:sz w:val="52"/>
      <w:szCs w:val="52"/>
    </w:rPr>
  </w:style>
  <w:style w:type="paragraph" w:styleId="Alcm">
    <w:name w:val="Subtitle"/>
    <w:basedOn w:val="Norml"/>
    <w:next w:val="Norml"/>
    <w:link w:val="AlcmChar"/>
    <w:qFormat/>
    <w:rsid w:val="006D74EF"/>
    <w:rPr>
      <w:rFonts w:ascii="Arial" w:eastAsia="Times New Roman" w:hAnsi="Arial"/>
      <w:i/>
      <w:iCs/>
      <w:smallCaps/>
      <w:spacing w:val="10"/>
      <w:sz w:val="28"/>
      <w:szCs w:val="28"/>
      <w:lang w:eastAsia="hu-HU"/>
    </w:rPr>
  </w:style>
  <w:style w:type="character" w:customStyle="1" w:styleId="AlcmChar">
    <w:name w:val="Alcím Char"/>
    <w:basedOn w:val="Bekezdsalapbettpusa"/>
    <w:link w:val="Alcm"/>
    <w:rsid w:val="006D74EF"/>
    <w:rPr>
      <w:rFonts w:ascii="Arial" w:hAnsi="Arial"/>
      <w:i/>
      <w:iCs/>
      <w:smallCaps/>
      <w:spacing w:val="10"/>
      <w:sz w:val="28"/>
      <w:szCs w:val="28"/>
    </w:rPr>
  </w:style>
  <w:style w:type="character" w:styleId="Kiemels2">
    <w:name w:val="Strong"/>
    <w:basedOn w:val="Bekezdsalapbettpusa"/>
    <w:qFormat/>
    <w:rsid w:val="006D74EF"/>
    <w:rPr>
      <w:b/>
      <w:bCs/>
    </w:rPr>
  </w:style>
  <w:style w:type="paragraph" w:styleId="Listaszerbekezds">
    <w:name w:val="List Paragraph"/>
    <w:basedOn w:val="Norml"/>
    <w:uiPriority w:val="34"/>
    <w:qFormat/>
    <w:rsid w:val="006D74EF"/>
    <w:pPr>
      <w:ind w:left="720"/>
      <w:contextualSpacing/>
    </w:pPr>
  </w:style>
  <w:style w:type="paragraph" w:customStyle="1" w:styleId="1cm-rebehzott">
    <w:name w:val="1 cm-re behúzott"/>
    <w:basedOn w:val="Norml"/>
    <w:link w:val="1cm-rebehzottChar"/>
    <w:rsid w:val="00C3235B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8"/>
    </w:rPr>
  </w:style>
  <w:style w:type="character" w:customStyle="1" w:styleId="1cm-rebehzottChar">
    <w:name w:val="1 cm-re behúzott Char"/>
    <w:basedOn w:val="Bekezdsalapbettpusa"/>
    <w:link w:val="1cm-rebehzott"/>
    <w:rsid w:val="00C3235B"/>
    <w:rPr>
      <w:rFonts w:eastAsia="Times New Roman"/>
      <w:sz w:val="24"/>
      <w:szCs w:val="28"/>
      <w:lang w:eastAsia="en-US"/>
    </w:rPr>
  </w:style>
  <w:style w:type="paragraph" w:styleId="Szvegtrzs">
    <w:name w:val="Body Text"/>
    <w:basedOn w:val="Norml"/>
    <w:link w:val="SzvegtrzsChar"/>
    <w:rsid w:val="00DA129B"/>
    <w:pPr>
      <w:spacing w:before="60" w:after="0" w:line="360" w:lineRule="auto"/>
      <w:jc w:val="both"/>
    </w:pPr>
    <w:rPr>
      <w:rFonts w:ascii="Arial" w:eastAsia="Times New Roman" w:hAnsi="Arial" w:cs="Arial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A129B"/>
    <w:rPr>
      <w:rFonts w:ascii="Arial" w:eastAsia="Times New Roman" w:hAnsi="Arial" w:cs="Arial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9425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4255D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52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2D3F"/>
    <w:rPr>
      <w:rFonts w:ascii="Tahoma" w:hAnsi="Tahoma" w:cs="Tahoma"/>
      <w:sz w:val="16"/>
      <w:szCs w:val="16"/>
      <w:lang w:eastAsia="en-US"/>
    </w:rPr>
  </w:style>
  <w:style w:type="paragraph" w:styleId="lfej">
    <w:name w:val="header"/>
    <w:basedOn w:val="Norml"/>
    <w:link w:val="lfejChar"/>
    <w:uiPriority w:val="99"/>
    <w:semiHidden/>
    <w:unhideWhenUsed/>
    <w:rsid w:val="0045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52D3F"/>
    <w:rPr>
      <w:rFonts w:ascii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5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52D3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02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3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</dc:creator>
  <cp:keywords/>
  <dc:description/>
  <cp:lastModifiedBy>B. Fruzsina</cp:lastModifiedBy>
  <cp:revision>2</cp:revision>
  <dcterms:created xsi:type="dcterms:W3CDTF">2012-02-07T12:19:00Z</dcterms:created>
  <dcterms:modified xsi:type="dcterms:W3CDTF">2012-02-07T12:19:00Z</dcterms:modified>
</cp:coreProperties>
</file>